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BC" w:rsidRPr="00FE2CEC" w:rsidRDefault="00EE05ED" w:rsidP="0026289F">
      <w:pPr>
        <w:jc w:val="both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57728" strokecolor="#92cddc" strokeweight="1pt">
            <v:fill color2="#b6dde8" rotate="t" focusposition="1" focussize="" focus="100%" type="gradient"/>
            <v:shadow on="t" type="perspective" color="#205867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="Calibri" w:hAnsi="Calibr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="Calibri" w:hAnsi="Calibr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="Calibri" w:hAnsi="Calibr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361"/>
        <w:gridCol w:w="6237"/>
      </w:tblGrid>
      <w:tr w:rsidR="00A5611B" w:rsidRPr="00FE2CEC" w:rsidTr="007C48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A5611B" w:rsidRPr="007C4888" w:rsidRDefault="003D2B37" w:rsidP="0026289F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000000"/>
                <w:sz w:val="24"/>
                <w:szCs w:val="24"/>
              </w:rPr>
            </w:pPr>
            <w:r w:rsidRPr="007C4888">
              <w:rPr>
                <w:rFonts w:ascii="Calibri" w:hAnsi="Calibri"/>
                <w:b/>
                <w:color w:val="000000"/>
                <w:sz w:val="24"/>
                <w:szCs w:val="24"/>
              </w:rPr>
              <w:t>Nombre de</w:t>
            </w:r>
            <w:r w:rsidR="00A261B0" w:rsidRPr="007C4888">
              <w:rPr>
                <w:rFonts w:ascii="Calibri" w:hAnsi="Calibri"/>
                <w:b/>
                <w:color w:val="000000"/>
                <w:sz w:val="24"/>
                <w:szCs w:val="24"/>
              </w:rPr>
              <w:t>l Indicador</w:t>
            </w:r>
          </w:p>
        </w:tc>
        <w:tc>
          <w:tcPr>
            <w:tcW w:w="6237" w:type="dxa"/>
          </w:tcPr>
          <w:p w:rsidR="0072291C" w:rsidRPr="001E0D1E" w:rsidRDefault="00075F4F" w:rsidP="008B3D54">
            <w:pPr>
              <w:tabs>
                <w:tab w:val="left" w:pos="4320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bCs w:val="0"/>
                <w:sz w:val="24"/>
                <w:szCs w:val="24"/>
                <w:lang w:val="es-CL"/>
              </w:rPr>
            </w:pPr>
            <w:r w:rsidRPr="001E0D1E">
              <w:rPr>
                <w:rFonts w:ascii="Calibri" w:hAnsi="Calibri"/>
                <w:b w:val="0"/>
                <w:bCs w:val="0"/>
                <w:sz w:val="24"/>
                <w:szCs w:val="24"/>
                <w:lang w:val="es-CL"/>
              </w:rPr>
              <w:t xml:space="preserve">Remuneraciones </w:t>
            </w:r>
            <w:r w:rsidR="008B3D54">
              <w:rPr>
                <w:rFonts w:ascii="Calibri" w:hAnsi="Calibri"/>
                <w:b w:val="0"/>
                <w:bCs w:val="0"/>
                <w:sz w:val="24"/>
                <w:szCs w:val="24"/>
                <w:lang w:val="es-CL"/>
              </w:rPr>
              <w:t xml:space="preserve">pagadas </w:t>
            </w:r>
            <w:r w:rsidR="0008554B">
              <w:rPr>
                <w:rFonts w:ascii="Calibri" w:hAnsi="Calibri"/>
                <w:b w:val="0"/>
                <w:bCs w:val="0"/>
                <w:sz w:val="24"/>
                <w:szCs w:val="24"/>
                <w:lang w:val="es-CL"/>
              </w:rPr>
              <w:t>por</w:t>
            </w:r>
            <w:r w:rsidR="0008554B">
              <w:rPr>
                <w:rFonts w:cs="Arial"/>
                <w:b w:val="0"/>
                <w:sz w:val="20"/>
                <w:lang w:val="es-CL"/>
              </w:rPr>
              <w:t xml:space="preserve"> </w:t>
            </w:r>
            <w:r w:rsidR="008B3D54">
              <w:rPr>
                <w:rFonts w:cs="Arial"/>
                <w:b w:val="0"/>
                <w:sz w:val="20"/>
                <w:lang w:val="es-CL"/>
              </w:rPr>
              <w:t xml:space="preserve">el </w:t>
            </w:r>
            <w:r w:rsidR="0008554B">
              <w:rPr>
                <w:rFonts w:cs="Arial"/>
                <w:b w:val="0"/>
                <w:sz w:val="20"/>
                <w:lang w:val="es-CL"/>
              </w:rPr>
              <w:t xml:space="preserve">sector </w:t>
            </w:r>
            <w:r w:rsidR="000D6801">
              <w:rPr>
                <w:rFonts w:cs="Arial"/>
                <w:b w:val="0"/>
                <w:sz w:val="20"/>
                <w:lang w:val="es-CL"/>
              </w:rPr>
              <w:t>Comercio Interno.</w:t>
            </w:r>
          </w:p>
        </w:tc>
      </w:tr>
      <w:tr w:rsidR="00D1209C" w:rsidRPr="00FE2CEC" w:rsidTr="007C48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D1209C" w:rsidRPr="007C4888" w:rsidRDefault="00D1209C" w:rsidP="0026289F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000000"/>
                <w:sz w:val="24"/>
                <w:szCs w:val="24"/>
              </w:rPr>
            </w:pPr>
            <w:r w:rsidRPr="007C4888">
              <w:rPr>
                <w:rFonts w:ascii="Calibri" w:hAnsi="Calibri"/>
                <w:b/>
                <w:color w:val="000000"/>
                <w:sz w:val="24"/>
                <w:szCs w:val="24"/>
              </w:rPr>
              <w:t>Operación Estadística</w:t>
            </w:r>
          </w:p>
        </w:tc>
        <w:tc>
          <w:tcPr>
            <w:tcW w:w="6237" w:type="dxa"/>
          </w:tcPr>
          <w:p w:rsidR="00D1209C" w:rsidRPr="00300855" w:rsidRDefault="0071325B" w:rsidP="00C95E4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0"/>
                <w:lang w:val="es-EC"/>
              </w:rPr>
            </w:pPr>
            <w:r>
              <w:rPr>
                <w:rFonts w:eastAsia="Calibri" w:cs="Arial"/>
                <w:sz w:val="20"/>
                <w:lang w:val="es-EC"/>
              </w:rPr>
              <w:t>Encuesta</w:t>
            </w:r>
          </w:p>
          <w:p w:rsidR="00300855" w:rsidRPr="00C95E41" w:rsidRDefault="00300855" w:rsidP="00C95E4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4"/>
                <w:szCs w:val="24"/>
                <w:lang w:val="es-CL"/>
              </w:rPr>
            </w:pPr>
          </w:p>
        </w:tc>
      </w:tr>
      <w:tr w:rsidR="000E71D9" w:rsidRPr="00FE2CEC" w:rsidTr="007C488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0E71D9" w:rsidRPr="007C4888" w:rsidRDefault="00A44B73" w:rsidP="0026289F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000000"/>
                <w:sz w:val="24"/>
                <w:szCs w:val="24"/>
              </w:rPr>
            </w:pPr>
            <w:r w:rsidRPr="007C4888">
              <w:rPr>
                <w:rFonts w:ascii="Calibri" w:hAnsi="Calibri"/>
                <w:b/>
                <w:color w:val="000000"/>
                <w:sz w:val="24"/>
                <w:szCs w:val="24"/>
              </w:rPr>
              <w:t>Definición del Indicador</w:t>
            </w:r>
          </w:p>
        </w:tc>
        <w:tc>
          <w:tcPr>
            <w:tcW w:w="6237" w:type="dxa"/>
          </w:tcPr>
          <w:p w:rsidR="000E71D9" w:rsidRPr="00C95E41" w:rsidRDefault="001B7129" w:rsidP="007C488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="Arial"/>
                <w:sz w:val="20"/>
                <w:lang w:val="es-EC"/>
              </w:rPr>
            </w:pPr>
            <w:r w:rsidRPr="007C4888">
              <w:rPr>
                <w:rFonts w:eastAsia="Calibri" w:cs="Arial"/>
                <w:sz w:val="20"/>
                <w:lang w:val="es-EC"/>
              </w:rPr>
              <w:t>Son todos los pagos realizados por el establecimiento a empleados u obreros, tanto en dinero como en especies; incluye: las contribuciones a favor de éstos a la seguridad social, seguros de vida y otros beneficios análogos.</w:t>
            </w:r>
          </w:p>
        </w:tc>
      </w:tr>
      <w:tr w:rsidR="00FC47BC" w:rsidRPr="00FE2CEC" w:rsidTr="007C48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FC47BC" w:rsidRPr="007C4888" w:rsidRDefault="000F31BF" w:rsidP="0026289F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000000"/>
                <w:sz w:val="24"/>
                <w:szCs w:val="24"/>
              </w:rPr>
            </w:pPr>
            <w:r w:rsidRPr="007C4888">
              <w:rPr>
                <w:rFonts w:ascii="Calibri" w:hAnsi="Calibri"/>
                <w:b/>
                <w:color w:val="000000"/>
                <w:sz w:val="24"/>
                <w:szCs w:val="24"/>
              </w:rPr>
              <w:t>Unidad de Medida</w:t>
            </w:r>
          </w:p>
        </w:tc>
        <w:tc>
          <w:tcPr>
            <w:tcW w:w="6237" w:type="dxa"/>
          </w:tcPr>
          <w:p w:rsidR="00FC47BC" w:rsidRPr="00C95E41" w:rsidRDefault="001B7129" w:rsidP="00D508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Dólares</w:t>
            </w:r>
          </w:p>
        </w:tc>
      </w:tr>
      <w:tr w:rsidR="00280F9C" w:rsidRPr="00FE2CEC" w:rsidTr="007C488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280F9C" w:rsidRPr="007C4888" w:rsidRDefault="000F31BF" w:rsidP="0026289F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000000"/>
                <w:sz w:val="24"/>
                <w:szCs w:val="24"/>
              </w:rPr>
            </w:pPr>
            <w:r w:rsidRPr="007C4888">
              <w:rPr>
                <w:rFonts w:ascii="Calibri" w:hAnsi="Calibri"/>
                <w:b/>
                <w:color w:val="000000"/>
                <w:sz w:val="24"/>
                <w:szCs w:val="24"/>
              </w:rPr>
              <w:t>Fórmula de Cálculo del Indicador</w:t>
            </w:r>
          </w:p>
        </w:tc>
        <w:tc>
          <w:tcPr>
            <w:tcW w:w="6237" w:type="dxa"/>
          </w:tcPr>
          <w:p w:rsidR="00280B20" w:rsidRDefault="00280B20" w:rsidP="001B712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color w:val="000000"/>
              </w:rPr>
            </w:pPr>
          </w:p>
          <w:p w:rsidR="00280B20" w:rsidRPr="000D6801" w:rsidRDefault="000D6801" w:rsidP="001B712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color w:val="00000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</w:rPr>
                  <m:t>RECI</m:t>
                </m:r>
                <m:r>
                  <w:rPr>
                    <w:rFonts w:ascii="Cambria Math" w:hAnsi="Cambria Math" w:cs="Arial"/>
                    <w:color w:val="000000"/>
                  </w:rPr>
                  <m:t>=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  <w:color w:val="000000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Arial"/>
                        <w:color w:val="000000"/>
                      </w:rPr>
                      <m:t>PECI</m:t>
                    </m:r>
                  </m:e>
                </m:nary>
              </m:oMath>
            </m:oMathPara>
          </w:p>
          <w:p w:rsidR="00280B20" w:rsidRDefault="00280B20" w:rsidP="001B712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color w:val="000000"/>
              </w:rPr>
            </w:pPr>
          </w:p>
          <w:p w:rsidR="00280B20" w:rsidRDefault="000D6801" w:rsidP="001B712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  <w:r>
              <w:rPr>
                <w:rFonts w:cs="Arial"/>
                <w:sz w:val="20"/>
                <w:lang w:val="es-CL"/>
              </w:rPr>
              <w:t>RECI</w:t>
            </w:r>
            <w:r w:rsidR="00280B20" w:rsidRPr="008B3D54">
              <w:rPr>
                <w:rFonts w:cs="Arial"/>
                <w:sz w:val="20"/>
                <w:lang w:val="es-CL"/>
              </w:rPr>
              <w:t>:</w:t>
            </w:r>
            <w:r w:rsidR="00280B20">
              <w:rPr>
                <w:rFonts w:cs="Arial"/>
                <w:color w:val="000000"/>
              </w:rPr>
              <w:t xml:space="preserve"> </w:t>
            </w:r>
            <w:r w:rsidR="00280B20" w:rsidRPr="00A03B5A">
              <w:rPr>
                <w:rFonts w:cs="Arial"/>
                <w:sz w:val="20"/>
                <w:lang w:val="es-CL"/>
              </w:rPr>
              <w:t>Remuneraciones</w:t>
            </w:r>
            <w:r w:rsidR="00A03B5A" w:rsidRPr="00A03B5A">
              <w:rPr>
                <w:rFonts w:cs="Arial"/>
                <w:sz w:val="20"/>
                <w:lang w:val="es-CL"/>
              </w:rPr>
              <w:t xml:space="preserve"> </w:t>
            </w:r>
            <w:r w:rsidR="008B3D54">
              <w:rPr>
                <w:rFonts w:cs="Arial"/>
                <w:sz w:val="20"/>
                <w:lang w:val="es-CL"/>
              </w:rPr>
              <w:t xml:space="preserve">pagadas </w:t>
            </w:r>
            <w:r w:rsidR="00A03B5A">
              <w:rPr>
                <w:rFonts w:cs="Arial"/>
                <w:sz w:val="20"/>
                <w:lang w:val="es-CL"/>
              </w:rPr>
              <w:t xml:space="preserve">por </w:t>
            </w:r>
            <w:r w:rsidR="008B3D54" w:rsidRPr="008B3D54">
              <w:rPr>
                <w:rFonts w:cs="Arial"/>
                <w:sz w:val="20"/>
                <w:lang w:val="es-CL"/>
              </w:rPr>
              <w:t xml:space="preserve">el </w:t>
            </w:r>
            <w:r w:rsidR="008B3D54">
              <w:rPr>
                <w:rFonts w:cs="Arial"/>
                <w:sz w:val="20"/>
                <w:lang w:val="es-CL"/>
              </w:rPr>
              <w:t xml:space="preserve">sector </w:t>
            </w:r>
            <w:r>
              <w:rPr>
                <w:rFonts w:cs="Arial"/>
                <w:sz w:val="20"/>
                <w:lang w:val="es-CL"/>
              </w:rPr>
              <w:t>Comercio Interno</w:t>
            </w:r>
          </w:p>
          <w:p w:rsidR="00280B20" w:rsidRPr="000D6801" w:rsidRDefault="00280B20" w:rsidP="001B712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</w:p>
          <w:p w:rsidR="008B3D54" w:rsidRDefault="00EE05ED" w:rsidP="008B3D54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Arial"/>
                      <w:sz w:val="20"/>
                      <w:lang w:val="es-CL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lang w:val="es-CL"/>
                    </w:rPr>
                    <m:t>PECI</m:t>
                  </m:r>
                </m:e>
              </m:nary>
            </m:oMath>
            <w:r w:rsidR="00A03B5A" w:rsidRPr="008B3D54">
              <w:rPr>
                <w:rFonts w:cs="Arial"/>
                <w:sz w:val="20"/>
                <w:lang w:val="es-CL"/>
              </w:rPr>
              <w:t xml:space="preserve">: </w:t>
            </w:r>
            <w:r w:rsidR="008B3D54" w:rsidRPr="008B3D54">
              <w:rPr>
                <w:rFonts w:cs="Arial"/>
                <w:sz w:val="20"/>
                <w:lang w:val="es-CL"/>
              </w:rPr>
              <w:t xml:space="preserve">Sumatoria de remuneraciones pagadas </w:t>
            </w:r>
            <w:r w:rsidR="008B3D54">
              <w:rPr>
                <w:rFonts w:cs="Arial"/>
                <w:sz w:val="20"/>
                <w:lang w:val="es-CL"/>
              </w:rPr>
              <w:t xml:space="preserve">por </w:t>
            </w:r>
            <w:r w:rsidR="008B3D54" w:rsidRPr="008B3D54">
              <w:rPr>
                <w:rFonts w:cs="Arial"/>
                <w:sz w:val="20"/>
                <w:lang w:val="es-CL"/>
              </w:rPr>
              <w:t xml:space="preserve">el </w:t>
            </w:r>
            <w:r w:rsidR="008B3D54">
              <w:rPr>
                <w:rFonts w:cs="Arial"/>
                <w:sz w:val="20"/>
                <w:lang w:val="es-CL"/>
              </w:rPr>
              <w:t xml:space="preserve">sector </w:t>
            </w:r>
            <w:r w:rsidR="000D6801">
              <w:rPr>
                <w:rFonts w:cs="Arial"/>
                <w:sz w:val="20"/>
                <w:lang w:val="es-CL"/>
              </w:rPr>
              <w:t>Comercio Interno.</w:t>
            </w:r>
          </w:p>
          <w:p w:rsidR="00280F9C" w:rsidRPr="00514C00" w:rsidRDefault="00280F9C" w:rsidP="008B3D54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="Arial"/>
                <w:sz w:val="20"/>
              </w:rPr>
            </w:pPr>
          </w:p>
        </w:tc>
      </w:tr>
      <w:tr w:rsidR="003D2B37" w:rsidRPr="00FE2CEC" w:rsidTr="007C48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02306B" w:rsidRPr="007C4888" w:rsidRDefault="0002306B" w:rsidP="00C95E41">
            <w:pPr>
              <w:jc w:val="both"/>
              <w:rPr>
                <w:rFonts w:ascii="Calibri" w:hAnsi="Calibri"/>
                <w:bCs w:val="0"/>
                <w:sz w:val="24"/>
                <w:szCs w:val="24"/>
              </w:rPr>
            </w:pPr>
            <w:r w:rsidRPr="007C4888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7C4888" w:rsidRDefault="003D2B37" w:rsidP="0026289F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237" w:type="dxa"/>
          </w:tcPr>
          <w:p w:rsidR="003E085A" w:rsidRPr="00E53A8D" w:rsidRDefault="003E085A" w:rsidP="003E085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  <w:r w:rsidRPr="00E53A8D">
              <w:rPr>
                <w:rFonts w:cs="Arial"/>
                <w:sz w:val="20"/>
                <w:lang w:val="es-CL"/>
              </w:rPr>
              <w:t>Las remuneraciones para efecto de recabar la información se divide en los siguientes rubros:</w:t>
            </w:r>
          </w:p>
          <w:p w:rsidR="003E085A" w:rsidRPr="00E53A8D" w:rsidRDefault="003E085A" w:rsidP="003E0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</w:p>
          <w:p w:rsidR="003E085A" w:rsidRPr="00E53A8D" w:rsidRDefault="003E085A" w:rsidP="00E53A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  <w:r w:rsidRPr="00E53A8D">
              <w:rPr>
                <w:rFonts w:cs="Arial"/>
                <w:sz w:val="20"/>
                <w:lang w:val="es-CL"/>
              </w:rPr>
              <w:t>SUELDOS Y SALARIOS BÁSICOS NOMINALES</w:t>
            </w:r>
            <w:r w:rsidRPr="007C4888">
              <w:rPr>
                <w:b/>
                <w:szCs w:val="22"/>
              </w:rPr>
              <w:t xml:space="preserve"> </w:t>
            </w:r>
            <w:r w:rsidRPr="00E53A8D">
              <w:rPr>
                <w:szCs w:val="22"/>
              </w:rPr>
              <w:t>(</w:t>
            </w:r>
            <w:r w:rsidRPr="00E53A8D">
              <w:rPr>
                <w:rFonts w:cs="Arial"/>
                <w:sz w:val="20"/>
                <w:lang w:val="es-CL"/>
              </w:rPr>
              <w:t>Incluye horas extras)</w:t>
            </w:r>
          </w:p>
          <w:p w:rsidR="003E085A" w:rsidRPr="00E53A8D" w:rsidRDefault="003E085A" w:rsidP="00E53A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</w:p>
          <w:p w:rsidR="003E085A" w:rsidRPr="00E53A8D" w:rsidRDefault="003E085A" w:rsidP="00E53A8D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  <w:r w:rsidRPr="00E53A8D">
              <w:rPr>
                <w:rFonts w:cs="Arial"/>
                <w:sz w:val="20"/>
                <w:lang w:val="es-CL"/>
              </w:rPr>
              <w:t>Son todos los valores brutos pagados por el empleador a sus trabajadores y sobre los cuales se deben hacer aportes al Instituto Ecuatoriano de Seguridad Social (IESS), antes de efectuar descuentos como: aportes personales al IESS, impuesto a la renta, aportes a las asociaciones de trabajadores, descuentos judiciales, multas, préstamos, etc.</w:t>
            </w:r>
          </w:p>
          <w:p w:rsidR="003E085A" w:rsidRPr="00E53A8D" w:rsidRDefault="003E085A" w:rsidP="00E53A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</w:p>
          <w:p w:rsidR="003E085A" w:rsidRPr="00E53A8D" w:rsidRDefault="003E085A" w:rsidP="00E53A8D">
            <w:pPr>
              <w:pStyle w:val="Ttulo3"/>
              <w:spacing w:before="0" w:after="0"/>
              <w:jc w:val="both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  <w:lang w:val="es-CL"/>
              </w:rPr>
            </w:pPr>
            <w:r w:rsidRPr="00E53A8D">
              <w:rPr>
                <w:rFonts w:ascii="Arial" w:hAnsi="Arial" w:cs="Arial"/>
                <w:b w:val="0"/>
                <w:bCs w:val="0"/>
                <w:sz w:val="20"/>
                <w:szCs w:val="20"/>
                <w:lang w:val="es-CL"/>
              </w:rPr>
              <w:t>OTRAS REMUNERACIONES</w:t>
            </w:r>
          </w:p>
          <w:p w:rsidR="003E085A" w:rsidRPr="00E53A8D" w:rsidRDefault="003E085A" w:rsidP="00E53A8D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</w:p>
          <w:p w:rsidR="003E085A" w:rsidRPr="00E53A8D" w:rsidRDefault="003E085A" w:rsidP="00E53A8D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  <w:r w:rsidRPr="00E53A8D">
              <w:rPr>
                <w:rFonts w:cs="Arial"/>
                <w:sz w:val="20"/>
                <w:lang w:val="es-CL"/>
              </w:rPr>
              <w:t>Lo constituyen todos los valores en efectivo o en especies que reciben los trabajadores, como por ejemplo: transporte, comisiones, incentivos de trabajo, indemnizaciones por despido, vestimenta (que se use fuera del establecimiento), alojamiento, atención médica, etc.</w:t>
            </w:r>
          </w:p>
          <w:p w:rsidR="003E085A" w:rsidRPr="00E53A8D" w:rsidRDefault="003E085A" w:rsidP="00E53A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</w:p>
          <w:p w:rsidR="003E085A" w:rsidRPr="00E53A8D" w:rsidRDefault="003E085A" w:rsidP="00E53A8D">
            <w:pPr>
              <w:pStyle w:val="Ttulo3"/>
              <w:spacing w:before="0" w:after="0"/>
              <w:jc w:val="both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  <w:lang w:val="es-CL"/>
              </w:rPr>
            </w:pPr>
            <w:r w:rsidRPr="00E53A8D">
              <w:rPr>
                <w:rFonts w:ascii="Arial" w:hAnsi="Arial" w:cs="Arial"/>
                <w:b w:val="0"/>
                <w:bCs w:val="0"/>
                <w:sz w:val="20"/>
                <w:szCs w:val="20"/>
                <w:lang w:val="es-CL"/>
              </w:rPr>
              <w:t>SOBRESUELDOS</w:t>
            </w:r>
          </w:p>
          <w:p w:rsidR="003E085A" w:rsidRPr="00E53A8D" w:rsidRDefault="003E085A" w:rsidP="00E53A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</w:p>
          <w:p w:rsidR="003E085A" w:rsidRDefault="003E085A" w:rsidP="00E53A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  <w:r w:rsidRPr="00E53A8D">
              <w:rPr>
                <w:rFonts w:cs="Arial"/>
                <w:sz w:val="20"/>
                <w:lang w:val="es-CL"/>
              </w:rPr>
              <w:t>Componen: el décimo tercero y décimo cuarto sueldos y cualquier otro sobresueldo que pueda haberse pactado.</w:t>
            </w:r>
          </w:p>
          <w:p w:rsidR="003E085A" w:rsidRPr="00E53A8D" w:rsidRDefault="003E085A" w:rsidP="00E53A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</w:p>
          <w:p w:rsidR="003E085A" w:rsidRPr="00E53A8D" w:rsidRDefault="003E085A" w:rsidP="00E53A8D">
            <w:pPr>
              <w:pStyle w:val="Ttulo3"/>
              <w:spacing w:before="0" w:after="0"/>
              <w:jc w:val="both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  <w:lang w:val="es-CL"/>
              </w:rPr>
            </w:pPr>
            <w:r w:rsidRPr="00E53A8D">
              <w:rPr>
                <w:rFonts w:ascii="Arial" w:hAnsi="Arial" w:cs="Arial"/>
                <w:b w:val="0"/>
                <w:bCs w:val="0"/>
                <w:sz w:val="20"/>
                <w:szCs w:val="20"/>
                <w:lang w:val="es-CL"/>
              </w:rPr>
              <w:t>PARTICIPACIÓN EN LAS UTILIDADES</w:t>
            </w:r>
          </w:p>
          <w:p w:rsidR="003E085A" w:rsidRPr="00E53A8D" w:rsidRDefault="003E085A" w:rsidP="00E53A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</w:p>
          <w:p w:rsidR="003E085A" w:rsidRPr="00E53A8D" w:rsidRDefault="003E085A" w:rsidP="00E53A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  <w:r w:rsidRPr="00E53A8D">
              <w:rPr>
                <w:rFonts w:cs="Arial"/>
                <w:sz w:val="20"/>
                <w:lang w:val="es-CL"/>
              </w:rPr>
              <w:t xml:space="preserve">Corresponde a la parte de las utilidades (15%), que por Ley las </w:t>
            </w:r>
            <w:r w:rsidRPr="00E53A8D">
              <w:rPr>
                <w:rFonts w:cs="Arial"/>
                <w:sz w:val="20"/>
                <w:lang w:val="es-CL"/>
              </w:rPr>
              <w:lastRenderedPageBreak/>
              <w:t>empresas, deben distribuir en beneficio de sus trabajadores.</w:t>
            </w:r>
          </w:p>
          <w:p w:rsidR="003E085A" w:rsidRPr="00E53A8D" w:rsidRDefault="003E085A" w:rsidP="00E53A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</w:p>
          <w:p w:rsidR="003E085A" w:rsidRPr="00E53A8D" w:rsidRDefault="003E085A" w:rsidP="00E53A8D">
            <w:pPr>
              <w:pStyle w:val="Ttulo3"/>
              <w:spacing w:before="0" w:after="0"/>
              <w:jc w:val="both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  <w:lang w:val="es-CL"/>
              </w:rPr>
            </w:pPr>
            <w:r w:rsidRPr="00E53A8D">
              <w:rPr>
                <w:rFonts w:ascii="Arial" w:hAnsi="Arial" w:cs="Arial"/>
                <w:b w:val="0"/>
                <w:bCs w:val="0"/>
                <w:sz w:val="20"/>
                <w:szCs w:val="20"/>
                <w:lang w:val="es-CL"/>
              </w:rPr>
              <w:t>SUBSIDIO FAMILIAR</w:t>
            </w:r>
          </w:p>
          <w:p w:rsidR="003E085A" w:rsidRPr="00E53A8D" w:rsidRDefault="003E085A" w:rsidP="00E53A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</w:p>
          <w:p w:rsidR="003E085A" w:rsidRPr="00E53A8D" w:rsidRDefault="003E085A" w:rsidP="00E53A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  <w:r w:rsidRPr="00E53A8D">
              <w:rPr>
                <w:rFonts w:cs="Arial"/>
                <w:sz w:val="20"/>
                <w:lang w:val="es-CL"/>
              </w:rPr>
              <w:t>Corresponde al valor pagado por el  empleador, por concepto de subsidios familiares.</w:t>
            </w:r>
          </w:p>
          <w:p w:rsidR="003E085A" w:rsidRPr="00E53A8D" w:rsidRDefault="003E085A" w:rsidP="00E53A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</w:p>
          <w:p w:rsidR="003E085A" w:rsidRPr="00E53A8D" w:rsidRDefault="003E085A" w:rsidP="00E53A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  <w:r w:rsidRPr="00E53A8D">
              <w:rPr>
                <w:rFonts w:cs="Arial"/>
                <w:sz w:val="20"/>
                <w:lang w:val="es-CL"/>
              </w:rPr>
              <w:t>APORTE PATRONAL AL SEGURO SOCIAL (IESS)</w:t>
            </w:r>
          </w:p>
          <w:p w:rsidR="003E085A" w:rsidRPr="00E53A8D" w:rsidRDefault="003E085A" w:rsidP="00E53A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</w:p>
          <w:p w:rsidR="003E085A" w:rsidRPr="00E53A8D" w:rsidRDefault="003E085A" w:rsidP="00E53A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  <w:r w:rsidRPr="00E53A8D">
              <w:rPr>
                <w:rFonts w:cs="Arial"/>
                <w:sz w:val="20"/>
                <w:lang w:val="es-CL"/>
              </w:rPr>
              <w:t>Por Ley los empleadores están obligados a entregar mensualmente, al Instituto Ecuatoriano de Seguridad Social, a favor de cada uno de sus trabajadores, un aporte equivalente al 11.15% del sueldo o salario, sin perjuicio de los casos de empresas que tienen contratos de seguros adicionales.</w:t>
            </w:r>
          </w:p>
          <w:p w:rsidR="003E085A" w:rsidRPr="00E53A8D" w:rsidRDefault="003E085A" w:rsidP="00E53A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</w:p>
          <w:p w:rsidR="003E085A" w:rsidRPr="00E53A8D" w:rsidRDefault="003E085A" w:rsidP="00E53A8D">
            <w:pPr>
              <w:pStyle w:val="Ttulo3"/>
              <w:spacing w:before="0" w:after="0"/>
              <w:jc w:val="both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  <w:lang w:val="es-CL"/>
              </w:rPr>
            </w:pPr>
            <w:r w:rsidRPr="00E53A8D">
              <w:rPr>
                <w:rFonts w:ascii="Arial" w:hAnsi="Arial" w:cs="Arial"/>
                <w:b w:val="0"/>
                <w:bCs w:val="0"/>
                <w:sz w:val="20"/>
                <w:szCs w:val="20"/>
                <w:lang w:val="es-CL"/>
              </w:rPr>
              <w:t>APORTE AL FONDO DE RESERVA</w:t>
            </w:r>
          </w:p>
          <w:p w:rsidR="003E085A" w:rsidRPr="00E53A8D" w:rsidRDefault="003E085A" w:rsidP="00E53A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</w:p>
          <w:p w:rsidR="003E085A" w:rsidRPr="00E53A8D" w:rsidRDefault="003E085A" w:rsidP="00E53A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s-CL"/>
              </w:rPr>
            </w:pPr>
            <w:r w:rsidRPr="00E53A8D">
              <w:rPr>
                <w:rFonts w:cs="Arial"/>
                <w:sz w:val="20"/>
                <w:lang w:val="es-CL"/>
              </w:rPr>
              <w:t>Todo empleador tiene la obligación de depositar en el IESS, a favor de cada uno de sus trabajadores que se encuentran prestando sus servicios para su empresa, por más de un año, un valor que equivale a la doceava parte de las remuneraciones percibidas por el trabajador en el año al que corresponde dicho fondo.</w:t>
            </w:r>
          </w:p>
          <w:p w:rsidR="003D2B37" w:rsidRPr="003E085A" w:rsidRDefault="003D2B37" w:rsidP="00C95E4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</w:p>
        </w:tc>
      </w:tr>
      <w:tr w:rsidR="00F5519B" w:rsidRPr="00FE2CEC" w:rsidTr="007C488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F5519B" w:rsidRPr="007C4888" w:rsidRDefault="0002306B" w:rsidP="0026289F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auto"/>
                <w:sz w:val="24"/>
                <w:szCs w:val="24"/>
              </w:rPr>
            </w:pPr>
            <w:r w:rsidRPr="007C4888">
              <w:rPr>
                <w:rFonts w:ascii="Calibri" w:hAnsi="Calibri"/>
                <w:b/>
                <w:color w:val="auto"/>
                <w:sz w:val="24"/>
                <w:szCs w:val="24"/>
              </w:rPr>
              <w:lastRenderedPageBreak/>
              <w:t>Interpretación del Indicador</w:t>
            </w:r>
          </w:p>
        </w:tc>
        <w:tc>
          <w:tcPr>
            <w:tcW w:w="6237" w:type="dxa"/>
          </w:tcPr>
          <w:p w:rsidR="0008554B" w:rsidRDefault="0008554B" w:rsidP="0008554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color w:val="000000" w:themeColor="text1"/>
                <w:sz w:val="20"/>
                <w:lang w:val="es-CL"/>
              </w:rPr>
            </w:pPr>
            <w:r>
              <w:rPr>
                <w:rFonts w:cs="Arial"/>
                <w:color w:val="000000" w:themeColor="text1"/>
                <w:sz w:val="20"/>
              </w:rPr>
              <w:t>El total de remuneraciones</w:t>
            </w:r>
            <w:r w:rsidR="008B3D54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8B3D54">
              <w:rPr>
                <w:rFonts w:cs="Arial"/>
                <w:color w:val="000000" w:themeColor="text1"/>
                <w:sz w:val="20"/>
                <w:lang w:val="es-CL"/>
              </w:rPr>
              <w:t xml:space="preserve">pagadas </w:t>
            </w:r>
            <w:r>
              <w:rPr>
                <w:rFonts w:cs="Arial"/>
                <w:color w:val="000000" w:themeColor="text1"/>
                <w:sz w:val="20"/>
                <w:lang w:val="es-CL"/>
              </w:rPr>
              <w:t xml:space="preserve">en el 2009, por los establecimientos investigados en el país </w:t>
            </w:r>
            <w:r w:rsidR="008B3D54">
              <w:rPr>
                <w:rFonts w:cs="Arial"/>
                <w:color w:val="000000" w:themeColor="text1"/>
                <w:sz w:val="20"/>
                <w:lang w:val="es-CL"/>
              </w:rPr>
              <w:t xml:space="preserve">del </w:t>
            </w:r>
            <w:r>
              <w:rPr>
                <w:rFonts w:cs="Arial"/>
                <w:color w:val="000000" w:themeColor="text1"/>
                <w:sz w:val="20"/>
                <w:lang w:val="es-CL"/>
              </w:rPr>
              <w:t xml:space="preserve">sector </w:t>
            </w:r>
            <w:r w:rsidR="000D6801">
              <w:rPr>
                <w:color w:val="000000" w:themeColor="text1"/>
                <w:sz w:val="20"/>
              </w:rPr>
              <w:t>Comercio Interno</w:t>
            </w:r>
            <w:r w:rsidR="008B3D54">
              <w:rPr>
                <w:color w:val="000000" w:themeColor="text1"/>
                <w:sz w:val="20"/>
              </w:rPr>
              <w:t xml:space="preserve"> fue de  </w:t>
            </w:r>
            <w:r w:rsidR="000D6801" w:rsidRPr="000D6801">
              <w:rPr>
                <w:color w:val="000000" w:themeColor="text1"/>
                <w:sz w:val="20"/>
              </w:rPr>
              <w:t>1</w:t>
            </w:r>
            <w:r w:rsidR="000D6801">
              <w:rPr>
                <w:color w:val="000000" w:themeColor="text1"/>
                <w:sz w:val="20"/>
              </w:rPr>
              <w:t>.</w:t>
            </w:r>
            <w:r w:rsidR="000D6801" w:rsidRPr="000D6801">
              <w:rPr>
                <w:color w:val="000000" w:themeColor="text1"/>
                <w:sz w:val="20"/>
              </w:rPr>
              <w:t>280</w:t>
            </w:r>
            <w:r w:rsidR="000D6801">
              <w:rPr>
                <w:color w:val="000000" w:themeColor="text1"/>
                <w:sz w:val="20"/>
              </w:rPr>
              <w:t>.</w:t>
            </w:r>
            <w:r w:rsidR="000D6801" w:rsidRPr="000D6801">
              <w:rPr>
                <w:color w:val="000000" w:themeColor="text1"/>
                <w:sz w:val="20"/>
              </w:rPr>
              <w:t>509</w:t>
            </w:r>
            <w:r w:rsidR="000D6801">
              <w:rPr>
                <w:color w:val="000000" w:themeColor="text1"/>
                <w:sz w:val="20"/>
              </w:rPr>
              <w:t>.</w:t>
            </w:r>
            <w:r w:rsidR="000D6801" w:rsidRPr="000D6801">
              <w:rPr>
                <w:color w:val="000000" w:themeColor="text1"/>
                <w:sz w:val="20"/>
              </w:rPr>
              <w:t>948</w:t>
            </w:r>
            <w:r w:rsidR="008B3D54">
              <w:rPr>
                <w:color w:val="000000" w:themeColor="text1"/>
                <w:sz w:val="20"/>
              </w:rPr>
              <w:t>.</w:t>
            </w:r>
            <w:bookmarkStart w:id="0" w:name="_GoBack"/>
            <w:bookmarkEnd w:id="0"/>
          </w:p>
          <w:tbl>
            <w:tblPr>
              <w:tblW w:w="1223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39"/>
            </w:tblGrid>
            <w:tr w:rsidR="007C4888" w:rsidTr="0008554B">
              <w:trPr>
                <w:trHeight w:val="103"/>
              </w:trPr>
              <w:tc>
                <w:tcPr>
                  <w:tcW w:w="12239" w:type="dxa"/>
                  <w:vAlign w:val="center"/>
                </w:tcPr>
                <w:p w:rsidR="007C4888" w:rsidRDefault="007C4888">
                  <w:pPr>
                    <w:pStyle w:val="Default"/>
                    <w:rPr>
                      <w:sz w:val="15"/>
                      <w:szCs w:val="15"/>
                    </w:rPr>
                  </w:pPr>
                </w:p>
              </w:tc>
            </w:tr>
          </w:tbl>
          <w:p w:rsidR="00F5519B" w:rsidRPr="00C95E41" w:rsidRDefault="00F5519B" w:rsidP="00D508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</w:p>
        </w:tc>
      </w:tr>
      <w:tr w:rsidR="00100A4E" w:rsidRPr="00FE2CEC" w:rsidTr="007C48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100A4E" w:rsidRPr="007C4888" w:rsidRDefault="00681DAE" w:rsidP="0026289F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auto"/>
                <w:sz w:val="24"/>
                <w:szCs w:val="24"/>
              </w:rPr>
            </w:pPr>
            <w:r w:rsidRPr="007C4888">
              <w:rPr>
                <w:rFonts w:ascii="Calibri" w:hAnsi="Calibri"/>
                <w:b/>
                <w:color w:val="000000"/>
                <w:sz w:val="24"/>
                <w:szCs w:val="24"/>
              </w:rPr>
              <w:t>Fuente de información</w:t>
            </w:r>
          </w:p>
        </w:tc>
        <w:tc>
          <w:tcPr>
            <w:tcW w:w="6237" w:type="dxa"/>
          </w:tcPr>
          <w:p w:rsidR="00100A4E" w:rsidRPr="00C95E41" w:rsidRDefault="00F8617A" w:rsidP="0018303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Instituto Nacional de Estadística y Censos (INEC)-Dirección de Estadísticas Económicas (DIEC)</w:t>
            </w:r>
          </w:p>
        </w:tc>
      </w:tr>
      <w:tr w:rsidR="003D2B37" w:rsidRPr="00FE2CEC" w:rsidTr="007C488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3D2B37" w:rsidRPr="007C4888" w:rsidRDefault="00100A4E" w:rsidP="00C95E41">
            <w:pPr>
              <w:jc w:val="both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7C4888">
              <w:rPr>
                <w:rFonts w:ascii="Calibri" w:hAnsi="Calibri"/>
                <w:color w:val="000000"/>
                <w:sz w:val="24"/>
                <w:szCs w:val="24"/>
              </w:rPr>
              <w:t>Fuente de datos</w:t>
            </w:r>
          </w:p>
        </w:tc>
        <w:tc>
          <w:tcPr>
            <w:tcW w:w="6237" w:type="dxa"/>
          </w:tcPr>
          <w:p w:rsidR="003D2B37" w:rsidRPr="007A5118" w:rsidRDefault="007A5118" w:rsidP="008B3D54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color w:val="000000"/>
                <w:sz w:val="24"/>
                <w:szCs w:val="24"/>
                <w:lang w:val="es-EC"/>
              </w:rPr>
            </w:pPr>
            <w:r>
              <w:rPr>
                <w:rFonts w:eastAsia="Calibri" w:cs="Arial"/>
                <w:sz w:val="20"/>
              </w:rPr>
              <w:t xml:space="preserve">Encuesta de </w:t>
            </w:r>
            <w:r w:rsidR="000D6801">
              <w:rPr>
                <w:rFonts w:eastAsia="Calibri" w:cs="Arial"/>
                <w:sz w:val="20"/>
                <w:lang w:val="es-EC"/>
              </w:rPr>
              <w:t>Comercio Interno</w:t>
            </w:r>
          </w:p>
        </w:tc>
      </w:tr>
      <w:tr w:rsidR="00A56FB9" w:rsidRPr="00FE2CEC" w:rsidTr="007C48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A56FB9" w:rsidRPr="007C4888" w:rsidRDefault="00A75223" w:rsidP="00C95E41">
            <w:pPr>
              <w:jc w:val="both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7C4888">
              <w:rPr>
                <w:rFonts w:ascii="Calibri" w:hAnsi="Calibri"/>
                <w:color w:val="000000"/>
                <w:sz w:val="24"/>
                <w:szCs w:val="24"/>
              </w:rPr>
              <w:t>Desagregaciones</w:t>
            </w:r>
          </w:p>
        </w:tc>
        <w:tc>
          <w:tcPr>
            <w:tcW w:w="6237" w:type="dxa"/>
          </w:tcPr>
          <w:p w:rsidR="00A56FB9" w:rsidRPr="00C95E41" w:rsidRDefault="00893947" w:rsidP="0018303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 w:rsidRPr="00C95E41">
              <w:rPr>
                <w:rFonts w:ascii="Calibri" w:hAnsi="Calibri"/>
                <w:sz w:val="24"/>
                <w:szCs w:val="24"/>
              </w:rPr>
              <w:t>Nacional, Provincial</w:t>
            </w:r>
            <w:r w:rsidR="00315864">
              <w:rPr>
                <w:rFonts w:ascii="Calibri" w:hAnsi="Calibri"/>
                <w:sz w:val="24"/>
                <w:szCs w:val="24"/>
              </w:rPr>
              <w:t>, Regional.</w:t>
            </w:r>
          </w:p>
        </w:tc>
      </w:tr>
      <w:tr w:rsidR="00A56FB9" w:rsidRPr="00FE2CEC" w:rsidTr="007C488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A56FB9" w:rsidRPr="007C4888" w:rsidRDefault="00A75223" w:rsidP="00C95E41">
            <w:pPr>
              <w:jc w:val="both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7C4888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237" w:type="dxa"/>
          </w:tcPr>
          <w:p w:rsidR="00A56FB9" w:rsidRPr="00300855" w:rsidRDefault="00E53A8D" w:rsidP="00C95E4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2000</w:t>
            </w:r>
            <w:r w:rsidR="007A5118">
              <w:rPr>
                <w:rFonts w:ascii="Calibri" w:hAnsi="Calibri"/>
                <w:sz w:val="24"/>
                <w:szCs w:val="24"/>
              </w:rPr>
              <w:t xml:space="preserve"> -</w:t>
            </w:r>
            <w:r w:rsidR="00300855" w:rsidRPr="00F8617A">
              <w:rPr>
                <w:rFonts w:ascii="Calibri" w:hAnsi="Calibri"/>
                <w:sz w:val="24"/>
                <w:szCs w:val="24"/>
              </w:rPr>
              <w:t xml:space="preserve"> 2009</w:t>
            </w:r>
          </w:p>
          <w:p w:rsidR="00300855" w:rsidRPr="00C95E41" w:rsidRDefault="00300855" w:rsidP="00C95E4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</w:p>
        </w:tc>
      </w:tr>
      <w:tr w:rsidR="00A75223" w:rsidRPr="00FE2CEC" w:rsidTr="007C48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A75223" w:rsidRPr="007C4888" w:rsidRDefault="00A75223" w:rsidP="00075F4F">
            <w:pPr>
              <w:jc w:val="both"/>
              <w:rPr>
                <w:rFonts w:ascii="Calibri" w:hAnsi="Calibri"/>
                <w:bCs w:val="0"/>
                <w:sz w:val="24"/>
                <w:szCs w:val="24"/>
              </w:rPr>
            </w:pPr>
            <w:r w:rsidRPr="007C4888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075F4F" w:rsidRPr="007C4888">
              <w:rPr>
                <w:rFonts w:ascii="Calibri" w:hAnsi="Calibri"/>
                <w:bCs w:val="0"/>
                <w:sz w:val="24"/>
                <w:szCs w:val="24"/>
              </w:rPr>
              <w:t>producción del indicador</w:t>
            </w:r>
          </w:p>
        </w:tc>
        <w:tc>
          <w:tcPr>
            <w:tcW w:w="6237" w:type="dxa"/>
          </w:tcPr>
          <w:p w:rsidR="00A75223" w:rsidRPr="00C95E41" w:rsidRDefault="00893947" w:rsidP="00C95E4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4"/>
                <w:szCs w:val="24"/>
              </w:rPr>
            </w:pPr>
            <w:r w:rsidRPr="00C95E41">
              <w:rPr>
                <w:rFonts w:ascii="Calibri" w:hAnsi="Calibri"/>
                <w:sz w:val="24"/>
                <w:szCs w:val="24"/>
                <w:lang w:val="es-CL"/>
              </w:rPr>
              <w:t>Anual</w:t>
            </w:r>
          </w:p>
        </w:tc>
      </w:tr>
      <w:tr w:rsidR="00A75223" w:rsidRPr="00FE2CEC" w:rsidTr="007C488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A75223" w:rsidRPr="007C4888" w:rsidRDefault="00A75223" w:rsidP="00C95E41">
            <w:pPr>
              <w:jc w:val="both"/>
              <w:rPr>
                <w:rFonts w:ascii="Calibri" w:hAnsi="Calibri"/>
                <w:bCs w:val="0"/>
                <w:sz w:val="24"/>
                <w:szCs w:val="24"/>
              </w:rPr>
            </w:pPr>
            <w:r w:rsidRPr="007C4888">
              <w:rPr>
                <w:rFonts w:ascii="Calibri" w:hAnsi="Calibri"/>
                <w:sz w:val="24"/>
                <w:szCs w:val="24"/>
              </w:rPr>
              <w:t>Uso del Indicador</w:t>
            </w:r>
          </w:p>
        </w:tc>
        <w:tc>
          <w:tcPr>
            <w:tcW w:w="6237" w:type="dxa"/>
          </w:tcPr>
          <w:p w:rsidR="00A75223" w:rsidRPr="00C95E41" w:rsidRDefault="007C4888" w:rsidP="007C488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Permite estimar las remuneraciones pagadas en el año por sector económico.</w:t>
            </w:r>
          </w:p>
        </w:tc>
      </w:tr>
      <w:tr w:rsidR="00FE2CEC" w:rsidRPr="00FE2CEC" w:rsidTr="007C48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FF79C6" w:rsidRPr="007C4888" w:rsidRDefault="00FF79C6" w:rsidP="00C95E4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7C4888">
              <w:rPr>
                <w:rFonts w:ascii="Calibri" w:hAnsi="Calibri" w:cs="Arial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237" w:type="dxa"/>
          </w:tcPr>
          <w:p w:rsidR="00C95E41" w:rsidRPr="00C95E41" w:rsidRDefault="007C4888" w:rsidP="007E36EC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24"/>
                <w:szCs w:val="24"/>
                <w:lang w:eastAsia="es-ES"/>
              </w:rPr>
            </w:pPr>
            <w:r>
              <w:rPr>
                <w:rFonts w:eastAsia="Calibri" w:cs="Arial"/>
                <w:sz w:val="20"/>
                <w:lang w:val="es-EC"/>
              </w:rPr>
              <w:t>N/A</w:t>
            </w:r>
            <w:r w:rsidR="00C95E41" w:rsidRPr="00C95E41">
              <w:rPr>
                <w:rFonts w:eastAsia="Calibri" w:cs="Arial"/>
                <w:sz w:val="20"/>
                <w:lang w:val="es-EC"/>
              </w:rPr>
              <w:t xml:space="preserve"> </w:t>
            </w:r>
          </w:p>
        </w:tc>
      </w:tr>
      <w:tr w:rsidR="00FE2CEC" w:rsidRPr="00FE2CEC" w:rsidTr="007C488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FE2CEC" w:rsidRPr="007C4888" w:rsidRDefault="00FE2CEC" w:rsidP="00C95E4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7C4888">
              <w:rPr>
                <w:rFonts w:ascii="Calibri" w:hAnsi="Calibri" w:cs="Arial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237" w:type="dxa"/>
          </w:tcPr>
          <w:p w:rsidR="00FE2CEC" w:rsidRPr="00C95E41" w:rsidRDefault="007C4888" w:rsidP="00FC7D95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No</w:t>
            </w:r>
          </w:p>
        </w:tc>
      </w:tr>
      <w:tr w:rsidR="00FE2CEC" w:rsidRPr="00FE2CEC" w:rsidTr="007C48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FE2CEC" w:rsidRPr="007C4888" w:rsidRDefault="00FE2CEC" w:rsidP="00C95E4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7C4888">
              <w:rPr>
                <w:rFonts w:ascii="Calibri" w:hAnsi="Calibri" w:cs="Arial"/>
                <w:sz w:val="24"/>
                <w:szCs w:val="24"/>
                <w:lang w:eastAsia="es-ES"/>
              </w:rPr>
              <w:t>Fecha de elaboración de la ficha:</w:t>
            </w:r>
          </w:p>
          <w:p w:rsidR="005F610C" w:rsidRPr="007C4888" w:rsidRDefault="005F610C" w:rsidP="0026289F">
            <w:pPr>
              <w:pStyle w:val="Ttulo5"/>
              <w:outlineLvl w:val="4"/>
              <w:rPr>
                <w:rFonts w:ascii="Calibri" w:hAnsi="Calibri"/>
                <w:b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5F610C" w:rsidRPr="00C95E41" w:rsidRDefault="00F8617A" w:rsidP="00C95E4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20 de Junio del 2012</w:t>
            </w:r>
          </w:p>
        </w:tc>
      </w:tr>
    </w:tbl>
    <w:p w:rsidR="00D72D82" w:rsidRPr="00FE2CEC" w:rsidRDefault="00D72D82" w:rsidP="0026289F">
      <w:pPr>
        <w:jc w:val="both"/>
        <w:rPr>
          <w:rFonts w:ascii="Calibri" w:hAnsi="Calibri"/>
          <w:sz w:val="24"/>
          <w:szCs w:val="24"/>
          <w:lang w:val="es-CL"/>
        </w:rPr>
      </w:pPr>
    </w:p>
    <w:sectPr w:rsidR="00D72D82" w:rsidRPr="00FE2CEC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5ED" w:rsidRDefault="00EE05ED" w:rsidP="00FC47BC">
      <w:r>
        <w:separator/>
      </w:r>
    </w:p>
  </w:endnote>
  <w:endnote w:type="continuationSeparator" w:id="0">
    <w:p w:rsidR="00EE05ED" w:rsidRDefault="00EE05ED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5F4C4E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5ED" w:rsidRDefault="00EE05ED" w:rsidP="00FC47BC">
      <w:r>
        <w:separator/>
      </w:r>
    </w:p>
  </w:footnote>
  <w:footnote w:type="continuationSeparator" w:id="0">
    <w:p w:rsidR="00EE05ED" w:rsidRDefault="00EE05ED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D90175"/>
    <w:multiLevelType w:val="hybridMultilevel"/>
    <w:tmpl w:val="1FA8CF90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734D97"/>
    <w:multiLevelType w:val="hybridMultilevel"/>
    <w:tmpl w:val="A8DCA8A2"/>
    <w:lvl w:ilvl="0" w:tplc="0C0A000B">
      <w:start w:val="1"/>
      <w:numFmt w:val="bullet"/>
      <w:lvlText w:val="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47BC"/>
    <w:rsid w:val="000003AB"/>
    <w:rsid w:val="00002437"/>
    <w:rsid w:val="00016363"/>
    <w:rsid w:val="000211AC"/>
    <w:rsid w:val="0002306B"/>
    <w:rsid w:val="00023249"/>
    <w:rsid w:val="000632EE"/>
    <w:rsid w:val="00067746"/>
    <w:rsid w:val="00075098"/>
    <w:rsid w:val="00075F4F"/>
    <w:rsid w:val="0008554B"/>
    <w:rsid w:val="00092863"/>
    <w:rsid w:val="00093E62"/>
    <w:rsid w:val="000950CA"/>
    <w:rsid w:val="000A3CEE"/>
    <w:rsid w:val="000B4BE3"/>
    <w:rsid w:val="000D6801"/>
    <w:rsid w:val="000E3E18"/>
    <w:rsid w:val="000E3F2C"/>
    <w:rsid w:val="000E71D9"/>
    <w:rsid w:val="000F246B"/>
    <w:rsid w:val="000F31BF"/>
    <w:rsid w:val="00100A4E"/>
    <w:rsid w:val="00116F4E"/>
    <w:rsid w:val="0015191A"/>
    <w:rsid w:val="0018303B"/>
    <w:rsid w:val="00193950"/>
    <w:rsid w:val="00195F4B"/>
    <w:rsid w:val="00196131"/>
    <w:rsid w:val="001A0B9F"/>
    <w:rsid w:val="001A5616"/>
    <w:rsid w:val="001B7129"/>
    <w:rsid w:val="001C2273"/>
    <w:rsid w:val="001D0BEB"/>
    <w:rsid w:val="001D444C"/>
    <w:rsid w:val="001D67EF"/>
    <w:rsid w:val="001E081C"/>
    <w:rsid w:val="001E0D1E"/>
    <w:rsid w:val="001E2B29"/>
    <w:rsid w:val="001E6EB2"/>
    <w:rsid w:val="001F1F8C"/>
    <w:rsid w:val="001F30DF"/>
    <w:rsid w:val="001F7D77"/>
    <w:rsid w:val="00206232"/>
    <w:rsid w:val="00223FD8"/>
    <w:rsid w:val="00231A35"/>
    <w:rsid w:val="00242948"/>
    <w:rsid w:val="00245C0D"/>
    <w:rsid w:val="002462D6"/>
    <w:rsid w:val="002562B2"/>
    <w:rsid w:val="0026289F"/>
    <w:rsid w:val="00273A8D"/>
    <w:rsid w:val="00280B20"/>
    <w:rsid w:val="00280F9C"/>
    <w:rsid w:val="002A61FB"/>
    <w:rsid w:val="002C2B39"/>
    <w:rsid w:val="002F6A2C"/>
    <w:rsid w:val="00300855"/>
    <w:rsid w:val="00302184"/>
    <w:rsid w:val="003031E1"/>
    <w:rsid w:val="00315864"/>
    <w:rsid w:val="00324DC9"/>
    <w:rsid w:val="00325832"/>
    <w:rsid w:val="0036065B"/>
    <w:rsid w:val="00367D62"/>
    <w:rsid w:val="003778A6"/>
    <w:rsid w:val="00387B22"/>
    <w:rsid w:val="003A14AE"/>
    <w:rsid w:val="003A195D"/>
    <w:rsid w:val="003A76D6"/>
    <w:rsid w:val="003B197E"/>
    <w:rsid w:val="003B6A0C"/>
    <w:rsid w:val="003D2B37"/>
    <w:rsid w:val="003D7DB2"/>
    <w:rsid w:val="003E085A"/>
    <w:rsid w:val="003E74EA"/>
    <w:rsid w:val="003F004F"/>
    <w:rsid w:val="003F340A"/>
    <w:rsid w:val="00405E63"/>
    <w:rsid w:val="00413F47"/>
    <w:rsid w:val="00424D3F"/>
    <w:rsid w:val="0044064F"/>
    <w:rsid w:val="00443351"/>
    <w:rsid w:val="00443A5E"/>
    <w:rsid w:val="004657A5"/>
    <w:rsid w:val="00474B80"/>
    <w:rsid w:val="00475E06"/>
    <w:rsid w:val="00482A0D"/>
    <w:rsid w:val="00490E14"/>
    <w:rsid w:val="004914E4"/>
    <w:rsid w:val="00493B5E"/>
    <w:rsid w:val="004A30E7"/>
    <w:rsid w:val="004A400D"/>
    <w:rsid w:val="004A4425"/>
    <w:rsid w:val="004A7B25"/>
    <w:rsid w:val="004B088F"/>
    <w:rsid w:val="004C75EA"/>
    <w:rsid w:val="004D3FA0"/>
    <w:rsid w:val="00501E7D"/>
    <w:rsid w:val="00505B58"/>
    <w:rsid w:val="00511A7E"/>
    <w:rsid w:val="0051418C"/>
    <w:rsid w:val="00514A3B"/>
    <w:rsid w:val="00514C00"/>
    <w:rsid w:val="00527641"/>
    <w:rsid w:val="00534E1F"/>
    <w:rsid w:val="00535F4B"/>
    <w:rsid w:val="00541C3C"/>
    <w:rsid w:val="0058564D"/>
    <w:rsid w:val="00587537"/>
    <w:rsid w:val="0059188B"/>
    <w:rsid w:val="005A024F"/>
    <w:rsid w:val="005B54E6"/>
    <w:rsid w:val="005E2BDD"/>
    <w:rsid w:val="005F23DD"/>
    <w:rsid w:val="005F4C4E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D50BB"/>
    <w:rsid w:val="006E0F74"/>
    <w:rsid w:val="006F2E56"/>
    <w:rsid w:val="00701991"/>
    <w:rsid w:val="00703691"/>
    <w:rsid w:val="0071325B"/>
    <w:rsid w:val="0072291C"/>
    <w:rsid w:val="00736464"/>
    <w:rsid w:val="00742454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A5118"/>
    <w:rsid w:val="007C4888"/>
    <w:rsid w:val="007E36EC"/>
    <w:rsid w:val="007F5483"/>
    <w:rsid w:val="00805A66"/>
    <w:rsid w:val="0081482C"/>
    <w:rsid w:val="008258C4"/>
    <w:rsid w:val="00827D8B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93947"/>
    <w:rsid w:val="008A5C61"/>
    <w:rsid w:val="008B3D54"/>
    <w:rsid w:val="008D2ACE"/>
    <w:rsid w:val="008F4279"/>
    <w:rsid w:val="00911846"/>
    <w:rsid w:val="0092495F"/>
    <w:rsid w:val="0092739B"/>
    <w:rsid w:val="009501EF"/>
    <w:rsid w:val="00955B28"/>
    <w:rsid w:val="0097625D"/>
    <w:rsid w:val="00983F91"/>
    <w:rsid w:val="00985F06"/>
    <w:rsid w:val="00996665"/>
    <w:rsid w:val="00997DCC"/>
    <w:rsid w:val="009A7143"/>
    <w:rsid w:val="009B0489"/>
    <w:rsid w:val="009C37F2"/>
    <w:rsid w:val="009E7A02"/>
    <w:rsid w:val="00A03B5A"/>
    <w:rsid w:val="00A11EA0"/>
    <w:rsid w:val="00A261B0"/>
    <w:rsid w:val="00A44B73"/>
    <w:rsid w:val="00A54DC5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D48E7"/>
    <w:rsid w:val="00AF11CF"/>
    <w:rsid w:val="00B256F2"/>
    <w:rsid w:val="00B32FB8"/>
    <w:rsid w:val="00B40889"/>
    <w:rsid w:val="00B50C20"/>
    <w:rsid w:val="00B50D96"/>
    <w:rsid w:val="00B5110F"/>
    <w:rsid w:val="00B57CAA"/>
    <w:rsid w:val="00B74C88"/>
    <w:rsid w:val="00B74CA2"/>
    <w:rsid w:val="00B918F2"/>
    <w:rsid w:val="00BA10A4"/>
    <w:rsid w:val="00BA1539"/>
    <w:rsid w:val="00BB255A"/>
    <w:rsid w:val="00BB7B24"/>
    <w:rsid w:val="00BC2C2A"/>
    <w:rsid w:val="00BC3871"/>
    <w:rsid w:val="00BC6848"/>
    <w:rsid w:val="00BD0D05"/>
    <w:rsid w:val="00BD4852"/>
    <w:rsid w:val="00BD4FBC"/>
    <w:rsid w:val="00BD55ED"/>
    <w:rsid w:val="00BE68F1"/>
    <w:rsid w:val="00BF14A5"/>
    <w:rsid w:val="00BF3634"/>
    <w:rsid w:val="00C058D5"/>
    <w:rsid w:val="00C24E3E"/>
    <w:rsid w:val="00C275B8"/>
    <w:rsid w:val="00C41E16"/>
    <w:rsid w:val="00C51DCC"/>
    <w:rsid w:val="00C536C5"/>
    <w:rsid w:val="00C57511"/>
    <w:rsid w:val="00C62789"/>
    <w:rsid w:val="00C77189"/>
    <w:rsid w:val="00C8000B"/>
    <w:rsid w:val="00C80A4A"/>
    <w:rsid w:val="00C91802"/>
    <w:rsid w:val="00C95E41"/>
    <w:rsid w:val="00CA2CC7"/>
    <w:rsid w:val="00CB39CA"/>
    <w:rsid w:val="00CC5792"/>
    <w:rsid w:val="00CE1198"/>
    <w:rsid w:val="00CE5D5E"/>
    <w:rsid w:val="00CF34BE"/>
    <w:rsid w:val="00D00C56"/>
    <w:rsid w:val="00D056DD"/>
    <w:rsid w:val="00D107E0"/>
    <w:rsid w:val="00D1209C"/>
    <w:rsid w:val="00D219A3"/>
    <w:rsid w:val="00D23643"/>
    <w:rsid w:val="00D341AB"/>
    <w:rsid w:val="00D508A1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E28E6"/>
    <w:rsid w:val="00DE48B0"/>
    <w:rsid w:val="00DE7F4F"/>
    <w:rsid w:val="00DF15A4"/>
    <w:rsid w:val="00DF5C11"/>
    <w:rsid w:val="00E0032D"/>
    <w:rsid w:val="00E06F7A"/>
    <w:rsid w:val="00E40D10"/>
    <w:rsid w:val="00E42442"/>
    <w:rsid w:val="00E53A8D"/>
    <w:rsid w:val="00E729B5"/>
    <w:rsid w:val="00E825B7"/>
    <w:rsid w:val="00E864F0"/>
    <w:rsid w:val="00EA15F1"/>
    <w:rsid w:val="00EA18DE"/>
    <w:rsid w:val="00EA3240"/>
    <w:rsid w:val="00EA4244"/>
    <w:rsid w:val="00EB1D87"/>
    <w:rsid w:val="00EB68DB"/>
    <w:rsid w:val="00EB7099"/>
    <w:rsid w:val="00EC5B27"/>
    <w:rsid w:val="00EE05ED"/>
    <w:rsid w:val="00EE276F"/>
    <w:rsid w:val="00EE333C"/>
    <w:rsid w:val="00EF077C"/>
    <w:rsid w:val="00EF7FEE"/>
    <w:rsid w:val="00F0103F"/>
    <w:rsid w:val="00F0188C"/>
    <w:rsid w:val="00F11765"/>
    <w:rsid w:val="00F11F6E"/>
    <w:rsid w:val="00F34200"/>
    <w:rsid w:val="00F5519B"/>
    <w:rsid w:val="00F73CC3"/>
    <w:rsid w:val="00F8617A"/>
    <w:rsid w:val="00F87BCB"/>
    <w:rsid w:val="00F9797B"/>
    <w:rsid w:val="00FA47B2"/>
    <w:rsid w:val="00FB52CC"/>
    <w:rsid w:val="00FB67DC"/>
    <w:rsid w:val="00FC47BC"/>
    <w:rsid w:val="00FC7D95"/>
    <w:rsid w:val="00FD08E7"/>
    <w:rsid w:val="00FE2CEC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rPr>
      <w:rFonts w:ascii="Arial" w:eastAsia="Times New Roman" w:hAnsi="Arial"/>
      <w:sz w:val="22"/>
      <w:lang w:val="es-ES" w:eastAsia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E085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  <w:rPr>
      <w:sz w:val="20"/>
    </w:rPr>
  </w:style>
  <w:style w:type="character" w:customStyle="1" w:styleId="EncabezadoCar">
    <w:name w:val="Encabezado Ca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  <w:rPr>
      <w:sz w:val="20"/>
    </w:rPr>
  </w:style>
  <w:style w:type="character" w:customStyle="1" w:styleId="PiedepginaCar">
    <w:name w:val="Pie de página Ca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Cuadrculaclara-nfasis5">
    <w:name w:val="Light Grid Accent 5"/>
    <w:basedOn w:val="Tablanormal"/>
    <w:uiPriority w:val="62"/>
    <w:rsid w:val="00703691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aconcuadrcula">
    <w:name w:val="Table Grid"/>
    <w:basedOn w:val="Tablanormal"/>
    <w:uiPriority w:val="59"/>
    <w:rsid w:val="00793D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ar">
    <w:name w:val="Título 3 Car"/>
    <w:link w:val="Ttulo3"/>
    <w:uiPriority w:val="9"/>
    <w:semiHidden/>
    <w:rsid w:val="003E085A"/>
    <w:rPr>
      <w:rFonts w:ascii="Cambria" w:eastAsia="Times New Roman" w:hAnsi="Cambria" w:cs="Times New Roman"/>
      <w:b/>
      <w:bCs/>
      <w:sz w:val="26"/>
      <w:szCs w:val="26"/>
      <w:lang w:val="es-ES" w:eastAsia="en-US"/>
    </w:rPr>
  </w:style>
  <w:style w:type="character" w:styleId="Textodelmarcadordeposicin">
    <w:name w:val="Placeholder Text"/>
    <w:basedOn w:val="Fuentedeprrafopredeter"/>
    <w:uiPriority w:val="99"/>
    <w:semiHidden/>
    <w:rsid w:val="00280B20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80B2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0B20"/>
    <w:rPr>
      <w:rFonts w:ascii="Tahoma" w:eastAsia="Times New Roman" w:hAnsi="Tahoma" w:cs="Tahoma"/>
      <w:sz w:val="16"/>
      <w:szCs w:val="16"/>
      <w:lang w:val="es-ES" w:eastAsia="en-US"/>
    </w:rPr>
  </w:style>
  <w:style w:type="paragraph" w:customStyle="1" w:styleId="Default">
    <w:name w:val="Default"/>
    <w:rsid w:val="007C488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8554B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8554B"/>
    <w:rPr>
      <w:rFonts w:ascii="Arial" w:eastAsia="Times New Roman" w:hAnsi="Arial"/>
      <w:lang w:val="es-E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6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27B89-1578-4895-9AD3-9058A4A4E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503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INEC Nadia Cardenas</cp:lastModifiedBy>
  <cp:revision>13</cp:revision>
  <dcterms:created xsi:type="dcterms:W3CDTF">2012-06-20T19:40:00Z</dcterms:created>
  <dcterms:modified xsi:type="dcterms:W3CDTF">2012-06-30T14:56:00Z</dcterms:modified>
</cp:coreProperties>
</file>